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I.S.F.T. Nº 46</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TÉCNICO SUPERIOR EN HOTELERÍA</w:t>
      </w:r>
    </w:p>
    <w:p w:rsidR="00000000" w:rsidDel="00000000" w:rsidP="00000000" w:rsidRDefault="00000000" w:rsidRPr="00000000" w14:paraId="00000003">
      <w:pPr>
        <w:spacing w:after="0" w:line="24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smallCaps w:val="1"/>
          <w:sz w:val="36"/>
          <w:szCs w:val="36"/>
        </w:rPr>
      </w:pPr>
      <w:r w:rsidDel="00000000" w:rsidR="00000000" w:rsidRPr="00000000">
        <w:rPr>
          <w:rFonts w:ascii="Arial" w:cs="Arial" w:eastAsia="Arial" w:hAnsi="Arial"/>
          <w:smallCaps w:val="1"/>
          <w:sz w:val="36"/>
          <w:szCs w:val="36"/>
          <w:rtl w:val="0"/>
        </w:rPr>
        <w:t xml:space="preserve">Propuesta Curricular</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Materia: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1"/>
          <w:sz w:val="28"/>
          <w:szCs w:val="28"/>
          <w:rtl w:val="0"/>
        </w:rPr>
        <w:t xml:space="preserve">GESTIÓN DE NEGOCIOS Y ANÁLISIS FINANCIERO</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i w:val="1"/>
        </w:rPr>
      </w:pPr>
      <w:r w:rsidDel="00000000" w:rsidR="00000000" w:rsidRPr="00000000">
        <w:rPr>
          <w:rFonts w:ascii="Arial" w:cs="Arial" w:eastAsia="Arial" w:hAnsi="Arial"/>
          <w:b w:val="1"/>
          <w:i w:val="1"/>
          <w:rtl w:val="0"/>
        </w:rPr>
        <w:t xml:space="preserve">C. P. Jorge Horacio Zárate</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FUNDAMENTACIÓN</w:t>
      </w:r>
    </w:p>
    <w:p w:rsidR="00000000" w:rsidDel="00000000" w:rsidP="00000000" w:rsidRDefault="00000000" w:rsidRPr="00000000" w14:paraId="00000009">
      <w:pPr>
        <w:ind w:firstLine="567"/>
        <w:jc w:val="both"/>
        <w:rPr>
          <w:rFonts w:ascii="Arial" w:cs="Arial" w:eastAsia="Arial" w:hAnsi="Arial"/>
        </w:rPr>
      </w:pPr>
      <w:r w:rsidDel="00000000" w:rsidR="00000000" w:rsidRPr="00000000">
        <w:rPr>
          <w:rFonts w:ascii="Arial" w:cs="Arial" w:eastAsia="Arial" w:hAnsi="Arial"/>
          <w:rtl w:val="0"/>
        </w:rPr>
        <w:t xml:space="preserve">Esta asignatura forma parte de la propuesta curricular de la Tecnicatura Superior en Hotelería, y por consiguiente, forma parte de su objetivo ocuparse de transmitir los conocimientos sobre conceptos  contables en la gestión de negocio y de matemática financiera y su aplicación a las distintas unidades que conforman la asignatura, dando especial atención a los casos concretos en donde puede observarse que la existencia de un contexto inflacionario genera un deterioro en toda exposición de fondos, brindando a los potenciales técnicos -hoy estudiantes- la base necesaria para el análisis, el control y la toma de decisiones en el cotidiano devenir de la actividad y las proyecciones obtenidas con la aplicación de los cálculos financieros.</w:t>
      </w:r>
    </w:p>
    <w:p w:rsidR="00000000" w:rsidDel="00000000" w:rsidP="00000000" w:rsidRDefault="00000000" w:rsidRPr="00000000" w14:paraId="0000000A">
      <w:pPr>
        <w:ind w:firstLine="567"/>
        <w:jc w:val="both"/>
        <w:rPr>
          <w:rFonts w:ascii="Arial" w:cs="Arial" w:eastAsia="Arial" w:hAnsi="Arial"/>
        </w:rPr>
      </w:pPr>
      <w:r w:rsidDel="00000000" w:rsidR="00000000" w:rsidRPr="00000000">
        <w:rPr>
          <w:rFonts w:ascii="Arial" w:cs="Arial" w:eastAsia="Arial" w:hAnsi="Arial"/>
          <w:rtl w:val="0"/>
        </w:rPr>
        <w:t xml:space="preserve">En tal sentido, su estudio apunta a dotar al futuro técnico del área hotelera, de las herramientas que permita la interpretación de la información que derive de la registración contable de las actividades a su cargo.</w:t>
      </w:r>
    </w:p>
    <w:p w:rsidR="00000000" w:rsidDel="00000000" w:rsidP="00000000" w:rsidRDefault="00000000" w:rsidRPr="00000000" w14:paraId="0000000B">
      <w:pPr>
        <w:ind w:firstLine="567"/>
        <w:jc w:val="both"/>
        <w:rPr>
          <w:rFonts w:ascii="Arial" w:cs="Arial" w:eastAsia="Arial" w:hAnsi="Arial"/>
        </w:rPr>
      </w:pPr>
      <w:r w:rsidDel="00000000" w:rsidR="00000000" w:rsidRPr="00000000">
        <w:rPr>
          <w:rFonts w:ascii="Arial" w:cs="Arial" w:eastAsia="Arial" w:hAnsi="Arial"/>
          <w:rtl w:val="0"/>
        </w:rPr>
        <w:t xml:space="preserve">La industria del alojamiento es una de las actividades que junto a la actividad turística, que mayor desarrollo ha logrado recientemente en nuestro país, considerándose en franca expansión, protagonizada tanto para viajeros nacionales, como del exterior. </w:t>
      </w:r>
    </w:p>
    <w:p w:rsidR="00000000" w:rsidDel="00000000" w:rsidP="00000000" w:rsidRDefault="00000000" w:rsidRPr="00000000" w14:paraId="0000000C">
      <w:pPr>
        <w:ind w:firstLine="567"/>
        <w:jc w:val="both"/>
        <w:rPr>
          <w:rFonts w:ascii="Arial" w:cs="Arial" w:eastAsia="Arial" w:hAnsi="Arial"/>
        </w:rPr>
      </w:pPr>
      <w:r w:rsidDel="00000000" w:rsidR="00000000" w:rsidRPr="00000000">
        <w:rPr>
          <w:rFonts w:ascii="Arial" w:cs="Arial" w:eastAsia="Arial" w:hAnsi="Arial"/>
          <w:rtl w:val="0"/>
        </w:rPr>
        <w:t xml:space="preserve">Esta realidad exige una mayor profesionalización y adecuación de los Recursos Humanos a las nuevas condiciones de la demanda, cada día más calificada, y a un mercado en constante cambio y altamente competitivo. </w:t>
      </w:r>
    </w:p>
    <w:p w:rsidR="00000000" w:rsidDel="00000000" w:rsidP="00000000" w:rsidRDefault="00000000" w:rsidRPr="00000000" w14:paraId="0000000D">
      <w:pPr>
        <w:ind w:firstLine="567"/>
        <w:jc w:val="both"/>
        <w:rPr>
          <w:rFonts w:ascii="Arial" w:cs="Arial" w:eastAsia="Arial" w:hAnsi="Arial"/>
        </w:rPr>
      </w:pPr>
      <w:r w:rsidDel="00000000" w:rsidR="00000000" w:rsidRPr="00000000">
        <w:rPr>
          <w:rFonts w:ascii="Arial" w:cs="Arial" w:eastAsia="Arial" w:hAnsi="Arial"/>
          <w:rtl w:val="0"/>
        </w:rPr>
        <w:t xml:space="preserve">Este profesional debe estar capacitado para comprender la actividad hotelera como un todo y conocer los impactos sociales, culturales, económicos, y ambientales, que le permita estar en condiciones de generar, liderar, gestionar y organizar emprendimientos tanto en el ámbito público como en el privado, ejecutando tareas técnicas, estratégicas y operativas en ambos ámbitos. </w:t>
      </w:r>
    </w:p>
    <w:p w:rsidR="00000000" w:rsidDel="00000000" w:rsidP="00000000" w:rsidRDefault="00000000" w:rsidRPr="00000000" w14:paraId="0000000E">
      <w:pPr>
        <w:ind w:firstLine="567"/>
        <w:jc w:val="both"/>
        <w:rPr>
          <w:rFonts w:ascii="Arial" w:cs="Arial" w:eastAsia="Arial" w:hAnsi="Arial"/>
        </w:rPr>
      </w:pPr>
      <w:r w:rsidDel="00000000" w:rsidR="00000000" w:rsidRPr="00000000">
        <w:rPr>
          <w:rFonts w:ascii="Arial" w:cs="Arial" w:eastAsia="Arial" w:hAnsi="Arial"/>
          <w:rtl w:val="0"/>
        </w:rPr>
        <w:t xml:space="preserve">Los conocimientos y herramientas provistos por esta asignatura, serán aplicables en la tarea del Técnico Superior en Hotelería al momento 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Dirigir Hoteles y Empresas de Alojamiento de todo tipo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estrategias de comercialización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Evaluar planes de inversión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Efectuar estudios de factibilidad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políticas de remuneración para el personal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Operar cálculo de costos y política de precios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Conocer y adecuarse a la modalidad de prestación de las cadenas hoteleras internacionales.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Planificar, organizar, asignar recursos y supervisar los diferentes sectores de una Empresa de Alojamiento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Organizar y supervisar las compras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Seleccionar y operar el sistema de reservas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Efectuar y organizar controles estadísticos y contables</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Expectativas de logro</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Lograr que los alumnos puedan incorporar: </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Conocimientos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Caracterización de los componentes financieros de una Empresa Hotelera.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de operaciones económicas con criterio contable.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Interpretación de marcos económicos para la toma de decisiones e inversiones.  </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Habilidades y Técnicas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Manejar cálculos numéricos con precisión y rapidez.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Elaborar informes claros y sintéticos e interpretarlos correctamente.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Aplicar los conocimientos teóricos a situaciones prácticas.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Detectar los aspectos teóricos implicados en situaciones concretas.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en cada caso las herramientas adecuadas para atender diferentes situaciones. </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 Hábitos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y respetar programas de tiempo.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Ubicar toda nueva información en un contexto. </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Brindar y recibir información clara, oportuna y adecuada a las necesidades de la persona a quien está dirigida.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Evaluar la eficiencia de los canales de comunicación usados.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frecuentes análisis para eliminar ineficiencias. </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Actitudes e Ideales </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Asumir una actitud crítica frente a distintas soluciones propuestas.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Adoptar igual posición frente al propio trabajo. </w:t>
      </w:r>
    </w:p>
    <w:p w:rsidR="00000000" w:rsidDel="00000000" w:rsidP="00000000" w:rsidRDefault="00000000" w:rsidRPr="00000000" w14:paraId="00000033">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Contenido académico</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Análisis Financiero </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Interés. </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Tipos. Tasas. Tasa de Inflación.   </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Rentas. </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Amortización de Préstamos. Sistemas.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Gestión de negocios</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Legislación Impositiva y Comercial aplicable a las actividades turísticas. Liquidación de Impuestos a las Ganancias. IVA. Ingresos Brutos. </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Liquidación de Sueldos y Cargas Sociales, Liquidación de Honorarios Profesionales. Retenciones. </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Patrimonio. Variación Patrimonial. </w:t>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Balances. Normas Contables. Esquemas de Presentación. Análisis e Interpretación de Balances como instrumento de Gestión. Política de Inversiones.</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1. </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Operaciones en base a interés simple </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Distintos tipos de Tasas: de interés, de inflación y real. Relaciones entre distintos tipos de tasas. Teoria del Interes. Operaciones en base a interés simple: Características fundamentales de la operatoria a interés simple. Interes y Monto. Regimenes de Capitalizacion: Concepto de capitalización y actualización aplicando tasas vencidas y adelantadas. Operaciones Financieras Simples: Capitalizacion y Actualizacion.  </w:t>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Operaciones en base a interés compuesto </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Contenidos Operaciones Financieras Simples en base a interés compuesto: Características fundamentales de la operatoria a interés compuesto. Diferenciación entre tasas efectivas y nominales. Análisis de las funciones de capitalización y actualización con Tasas efectivas de interés y de descuento. Equivalencia de distintos tipos de Tasas. Comparación entre operaciones financieras equivalentes a partir de su valor actual. Determinación del resultado financiero originado en la cancelación anticipada o transferencia de créditos o deudas.</w:t>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2</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Rentas </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Operaciones Financieras Complejas. Teoría General de Rentas: Concepto. Clasificación. Valuación de Rentas temporarias constantes en distintos momentos de su desarrollo (anticipadas, inmediatas y diferidas). Calculo de las diferentes variables que intervienen: Valor de la Renta, cuotas, número de cuotas. Aplicaciones. Rentas variables y perpetuas. Aplicación de la operatoria de rentas en la elaboración de la información contable. Determinación del resultado financiero originado en la cancelación anticipada o transferencia de Rentas. Aplicaciones Practicas.</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Sistemas de Amortización</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Clasificación básica de los sistemas de amortización según la forma en que combinen pagos de capital e interés. Intereses Directos. Sistema Americano. Sistema de cálculo de interés sobre saldos: Sistema Alemán, Sistema Frances. Comparación entre los diversos sistemas desarrollados reconociendo las características de cada uno. Elaboración de cuadros de marcha, cálculo de las distintas variables que intervienen en cada sistema: cuotas de capital, de interés y de servicio. Total de intereses. Reembolso de Prestamos. Operaciones Especiales. </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3</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Legislación impositiva</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Principios de interpretación y aplicación de las leyes. Domicilio fiscal. Términos. Sujetos de los deberes impositivos. Determinación y percepción de impuestos. Declaración jurada y liquidación administrativa. Determinación de oficio: procedimiento y presunciones. Efectos. El pago de tributos. Vencimiento general. Anticipos. Percepción en la fuente. Verificación y fiscalización. Intereses, ilícitos y sanciones. Responsables. Prescripción de las acciones y poderes del fisco y de la acción de los sujetos pasivos. </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La imposición al valor agregado</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Aspectos teóricos generales. El Impuesto Argentino Al valor Agregado. Hecho imponible. Sujetos. Objeto del Impuesto. Conceptos alcanzados. Venta de Cosas Muebles. Concepto de venta. Obras, locaciones, y prestaciones de servicios. Nacimiento del hecho imponible. Exenciones. Principios generales.  Exenciones Objetivas y Subjetivas. Determinación del Gravamen. Base para el cálculo del débito fiscal.  Precio Neto. Régimen General. Débito fiscal.  Definición. Características Generales. Crédito fiscal.  Requisitos para su cómputo. Regímenes Especiales. Liquidación, percepción e ingreso. Periodo Fiscal de Liquidación. Saldos a favor. Saldos a Favor de Libre disponibilidad. Reintegro del Impuesto al valor agregado a turistas extranjeros. </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La imposición a las Ganancias</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Aspectos teóricos generales. El impuesto Argentino a las Ganancias. Hechos imponibles. Conceptos de ganancias: definición legal, caracteres y diferencias de los distintos hechos imponibles. Fuente argentina. Principios generales. Excepciones y normas especiales. Sujeto pasivo: su fijación legal; personas de existencia visible e ideal. Clasificación y análisis de las ganancias e imputación al año fiscal. Categorías. Tratamiento diferenciales a las ganancias de las distintas categorías. Año fiscal. Anualidad. Imputación de ganancias y gastos al año fiscal. Exenciones. Deducciones personales: mínimo no imponible y cargas de familia. Concepto de ganancia bruta, ganancia neta y ganancia neta sujeta a imposición. Deducciones generales admitidas en la determinación de la ganancia neta. Su concepto. </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La imposición a los ingresos brutos</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Caracteres Generales. El gravamen vigente en la Ciudad Autónoma de Buenos Aires y en la Provincia de Bs. As. Hecho imponible. Exclusiones y exenciones. Base Imponible. Exclusiones y Deducciones. Sujetos. Categorías de Contribuyentes en CABA y Prov. Bs. As. Determinación. Régimen General. Bases imponibles especiales. Liquidación e ingreso. El Convenio Multilateral. Ámbito de aplicación. Régimen general. Regímenes especiales. Régimen de Inicio y Cese. Aspectos críticos de su aplicación. Pacto Federal Fiscal para el Empleo, la Producción y el crecimiento.</w:t>
      </w:r>
    </w:p>
    <w:p w:rsidR="00000000" w:rsidDel="00000000" w:rsidP="00000000" w:rsidRDefault="00000000" w:rsidRPr="00000000" w14:paraId="00000059">
      <w:pPr>
        <w:jc w:val="both"/>
        <w:rPr>
          <w:rFonts w:ascii="Arial" w:cs="Arial" w:eastAsia="Arial" w:hAnsi="Arial"/>
          <w:b w:val="1"/>
          <w:smallCaps w:val="1"/>
          <w:sz w:val="28"/>
          <w:szCs w:val="28"/>
          <w:u w:val="single"/>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smallCaps w:val="1"/>
          <w:sz w:val="28"/>
          <w:szCs w:val="28"/>
          <w:u w:val="single"/>
        </w:rPr>
      </w:pPr>
      <w:r w:rsidDel="00000000" w:rsidR="00000000" w:rsidRPr="00000000">
        <w:rPr>
          <w:rFonts w:ascii="Arial" w:cs="Arial" w:eastAsia="Arial" w:hAnsi="Arial"/>
          <w:b w:val="1"/>
          <w:smallCaps w:val="1"/>
          <w:sz w:val="28"/>
          <w:szCs w:val="28"/>
          <w:u w:val="single"/>
          <w:rtl w:val="0"/>
        </w:rPr>
        <w:t xml:space="preserve">Unidad 4</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Liquidación de sueldos</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Remuneración laboral y contrato de trabajo. Concepto. Marco legal. Empleados mensualizados y jornalizados. Diferencias. Fechas de pago legal. Prestaciones remunerativas y no remunerativas. Clasificación de las remuneraciones. Jornada legal de trabajo. Normal. Insalubre y nocturna. Proceso de liquidación de sueldos y jornales. Aportes personales y contribuciones patronales. Liquidación de horas extras en empleados jornales y mensuales. Diferencias, formas de cálculo. Horas al 50% y 100%. Trabajo nocturno. Concepto. Horario comprendido. Valor horario. Forma de cálculo. Adicionales, premios y primas. Origen de los conceptos. Formas de determinación. Tipos. Causas de extinción. Gratificaciones. Remunerativas y no remunerativas. Exigibilidad de las mismas. Salario mínimo vital y móvil. Marco legal. Sueldo anual complementario. Base de cálculo. Fechas de pago. Vacaciones.  Cómputo de antigüedad. Requisitos para su goce. Base de cálculo. Períodos de pago. Otras licencias. Licencias especiales en convenios colectivos. Feriados obligatorios y días no laborales. Marco legal. Requisitos para su percepción. Base de cálculo.  Traslado de feriados. Ejercitación práctica. Enfermedad laboral y accidente inculpable.  Situaciones y consideraciones legales y prácticas al respecto. Forma de cálculo. Accidente de trabajo: concepto. El legajo de personal. Documentación necesaria. Requisitos para el ingreso. Mi simplificación, pasos y proceso de alta al personal. Formas de contratación. Tipos de contrato de trabajo de uso más frecuente. Liquidación final. Despido con y sin justa causa. Omisión del preaviso. Integración del mes de despido. Indemnización por antigüedad. Indemnización por fallecimiento. Vacaciones no gozadas y SAC proporcional. Cálculos. Topes indemnizatorios. El despido con y sin justa causa. .</w:t>
      </w:r>
    </w:p>
    <w:p w:rsidR="00000000" w:rsidDel="00000000" w:rsidP="00000000" w:rsidRDefault="00000000" w:rsidRPr="00000000" w14:paraId="0000005D">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COHERENCIA INTERNA</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La cursada tendrá una correlación en los conocimientos haciendo que los recibidos inicialmente, se convertirán en la base de la elaboración cognoscitiva de la cursada.</w:t>
      </w:r>
    </w:p>
    <w:p w:rsidR="00000000" w:rsidDel="00000000" w:rsidP="00000000" w:rsidRDefault="00000000" w:rsidRPr="00000000" w14:paraId="00000060">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1">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INTERVENCIÓN DIDÁCTICA</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La cursada tendrá una dinámica teórico-práctica, donde los temas  teóricos estudiados tendrán una correlación directa con la ejercitación práctica, de modo de complementar la interpretación y fijación de conocimientos.</w:t>
      </w:r>
    </w:p>
    <w:p w:rsidR="00000000" w:rsidDel="00000000" w:rsidP="00000000" w:rsidRDefault="00000000" w:rsidRPr="00000000" w14:paraId="00000063">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PRESUPUESTO DE TIEMPO</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Se prevé que el dictado de la materia se dé captando los conocimientos detallados en las unidades I y II en el primer cuatrimestre, en tanto que para la segunda parte del año se tomarán los conocimientos previstos en las unidades III y IV.</w:t>
      </w:r>
    </w:p>
    <w:p w:rsidR="00000000" w:rsidDel="00000000" w:rsidP="00000000" w:rsidRDefault="00000000" w:rsidRPr="00000000" w14:paraId="00000066">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RECURSOS</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Material de lectura obligatoria y utilización de recursos brindados por las nuevas tectologías (Internet, videos, etc).</w:t>
      </w:r>
    </w:p>
    <w:p w:rsidR="00000000" w:rsidDel="00000000" w:rsidP="00000000" w:rsidRDefault="00000000" w:rsidRPr="00000000" w14:paraId="00000069">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A">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w:t>
      </w:r>
    </w:p>
    <w:p w:rsidR="00000000" w:rsidDel="00000000" w:rsidP="00000000" w:rsidRDefault="00000000" w:rsidRPr="00000000" w14:paraId="0000006B">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TODO LO QUE USTED QUIERE SABER SOBRE MATEMATICA FINANCIERA Y NO SE ANIMA A PREGUNTAR – Dra. Patricia Kisbye – Dr. Fernando Levstein – Instituto Nacional de Educación Tecnológica.</w:t>
      </w:r>
    </w:p>
    <w:p w:rsidR="00000000" w:rsidDel="00000000" w:rsidP="00000000" w:rsidRDefault="00000000" w:rsidRPr="00000000" w14:paraId="0000006C">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MATEMATICA FINANCIERA. Cesarini Hnos. Editores – Miguel M. TAJANI</w:t>
      </w:r>
    </w:p>
    <w:p w:rsidR="00000000" w:rsidDel="00000000" w:rsidP="00000000" w:rsidRDefault="00000000" w:rsidRPr="00000000" w14:paraId="0000006D">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Ley de Procedimiento Fiscal 11683 y su Decreto Reglamentario D.1397/1979</w:t>
      </w:r>
    </w:p>
    <w:p w:rsidR="00000000" w:rsidDel="00000000" w:rsidP="00000000" w:rsidRDefault="00000000" w:rsidRPr="00000000" w14:paraId="0000006E">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PROCEDIMIENTO FISCAL: EXPLICADO Y COMENTADO. (2009) - Editorial Errepar. 2º Edición.</w:t>
      </w:r>
    </w:p>
    <w:p w:rsidR="00000000" w:rsidDel="00000000" w:rsidP="00000000" w:rsidRDefault="00000000" w:rsidRPr="00000000" w14:paraId="0000006F">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SISTEMA BÁSICO DE COSTOS DE LA ACTIVIDAD HOTELERA. Autores Varios. Comisión de Costos, Informe Nº 6. EDICON. Consejo Profesional de Ciencias Económicas C.A.B.A.</w:t>
      </w:r>
    </w:p>
    <w:p w:rsidR="00000000" w:rsidDel="00000000" w:rsidP="00000000" w:rsidRDefault="00000000" w:rsidRPr="00000000" w14:paraId="00000070">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IVA – Autores Varios. Comisión de Impuestos, Cuaderno Nº 81. EDICON. Consejo Profesional de Ciencias Económicas C.A.B.A.</w:t>
      </w:r>
    </w:p>
    <w:p w:rsidR="00000000" w:rsidDel="00000000" w:rsidP="00000000" w:rsidRDefault="00000000" w:rsidRPr="00000000" w14:paraId="00000071">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AUDITORIAS DE SERVICIOS DE HOTELERIA. Autores varios. Comisión de Autitoría. EDICON. Consejo Profesional de Ciencias Económicas.</w:t>
      </w:r>
    </w:p>
    <w:p w:rsidR="00000000" w:rsidDel="00000000" w:rsidP="00000000" w:rsidRDefault="00000000" w:rsidRPr="00000000" w14:paraId="00000072">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IVA – Ley 20.631 y modificaciones. Texto  legal vigente.</w:t>
      </w:r>
    </w:p>
    <w:p w:rsidR="00000000" w:rsidDel="00000000" w:rsidP="00000000" w:rsidRDefault="00000000" w:rsidRPr="00000000" w14:paraId="00000073">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IMPUESTO AL VALOR AGREGADO - IMPUESTOS EXPLICADOS Y COMENTADOS. Editorial Errepar. Director Académico: CELDEIRO, Ernesto Carlos - IMIRIZALDU, Juan José - ROFRANO, Guido Omar.</w:t>
      </w:r>
    </w:p>
    <w:p w:rsidR="00000000" w:rsidDel="00000000" w:rsidP="00000000" w:rsidRDefault="00000000" w:rsidRPr="00000000" w14:paraId="00000074">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GANANCIAS – Ley 20.628 y modificaciones. Texto legal vigente</w:t>
      </w:r>
    </w:p>
    <w:p w:rsidR="00000000" w:rsidDel="00000000" w:rsidP="00000000" w:rsidRDefault="00000000" w:rsidRPr="00000000" w14:paraId="00000075">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IMPUESTO A LAS GANANCIAS – 12º Edición – Editorial Errepar. REIG, Enrique Jorge – GEBHARDT, Jorge – MALVITANO, Rubén</w:t>
      </w:r>
    </w:p>
    <w:p w:rsidR="00000000" w:rsidDel="00000000" w:rsidP="00000000" w:rsidRDefault="00000000" w:rsidRPr="00000000" w14:paraId="00000076">
      <w:pPr>
        <w:spacing w:after="120" w:line="240" w:lineRule="auto"/>
        <w:jc w:val="both"/>
        <w:rPr>
          <w:rFonts w:ascii="Arial" w:cs="Arial" w:eastAsia="Arial" w:hAnsi="Arial"/>
        </w:rPr>
      </w:pPr>
      <w:r w:rsidDel="00000000" w:rsidR="00000000" w:rsidRPr="00000000">
        <w:rPr>
          <w:rFonts w:ascii="Arial" w:cs="Arial" w:eastAsia="Arial" w:hAnsi="Arial"/>
          <w:rtl w:val="0"/>
        </w:rPr>
        <w:t xml:space="preserve">Ley de contrato de trabajo Nº 20.744 y modificaciones. Texto legal vigente.</w:t>
      </w:r>
    </w:p>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Ley de Convenio Multilateral – Comisión Arbitral – Texto vigente (</w:t>
      </w:r>
      <w:hyperlink r:id="rId6">
        <w:r w:rsidDel="00000000" w:rsidR="00000000" w:rsidRPr="00000000">
          <w:rPr>
            <w:rFonts w:ascii="Arial" w:cs="Arial" w:eastAsia="Arial" w:hAnsi="Arial"/>
            <w:color w:val="0000ff"/>
            <w:u w:val="single"/>
            <w:rtl w:val="0"/>
          </w:rPr>
          <w:t xml:space="preserve">http://www.ca.gov.ar/2016-03-21-17-33-42</w:t>
        </w:r>
      </w:hyperlink>
      <w:r w:rsidDel="00000000" w:rsidR="00000000" w:rsidRPr="00000000">
        <w:rPr>
          <w:rFonts w:ascii="Arial" w:cs="Arial" w:eastAsia="Arial" w:hAnsi="Arial"/>
          <w:rtl w:val="0"/>
        </w:rPr>
        <w:t xml:space="preserve">)</w:t>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EL CONVENIO MULTILATERAL DEL IMPUESTO SOBRE LOS INGRESOS BRUTOS. Editorial Errepar. KARABEN, Raúl E.</w:t>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Código fiscal de la Ciudad Autónoma de Buenos Aires - TO 2008 (</w:t>
      </w:r>
      <w:hyperlink r:id="rId7">
        <w:r w:rsidDel="00000000" w:rsidR="00000000" w:rsidRPr="00000000">
          <w:rPr>
            <w:rFonts w:ascii="Arial" w:cs="Arial" w:eastAsia="Arial" w:hAnsi="Arial"/>
            <w:color w:val="0000ff"/>
            <w:u w:val="single"/>
            <w:rtl w:val="0"/>
          </w:rPr>
          <w:t xml:space="preserve">www.agip.gob.ar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Código fiscal de la Provincia de Buenos Aires – Ley 10.397 – TO 2004 (</w:t>
      </w:r>
      <w:hyperlink r:id="rId8">
        <w:r w:rsidDel="00000000" w:rsidR="00000000" w:rsidRPr="00000000">
          <w:rPr>
            <w:rFonts w:ascii="Arial" w:cs="Arial" w:eastAsia="Arial" w:hAnsi="Arial"/>
            <w:color w:val="0000ff"/>
            <w:u w:val="single"/>
            <w:rtl w:val="0"/>
          </w:rPr>
          <w:t xml:space="preserve">www.arba.gob.ar</w:t>
        </w:r>
      </w:hyperlink>
      <w:r w:rsidDel="00000000" w:rsidR="00000000" w:rsidRPr="00000000">
        <w:rPr>
          <w:rFonts w:ascii="Arial" w:cs="Arial" w:eastAsia="Arial" w:hAnsi="Arial"/>
          <w:rtl w:val="0"/>
        </w:rPr>
        <w:t xml:space="preserve">)</w:t>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PROVINCIA DE BUENOS AIRES, INGRESOS BRUTOS A PARTIR DEL EJERCICIO 2016. Editorial Errepar. ALANIZ, José Antonio.</w:t>
      </w:r>
    </w:p>
    <w:p w:rsidR="00000000" w:rsidDel="00000000" w:rsidP="00000000" w:rsidRDefault="00000000" w:rsidRPr="00000000" w14:paraId="0000007C">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PROPUESTA DE EVALUACIÓN</w:t>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Se recomienda la existencia de dos exámenes parciales al finalizar el primer y el secundo cuatrimestre complemetados con trabajos de seguimientos a lo largo de todo el año.</w:t>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1979446</wp:posOffset>
                </wp:positionH>
                <wp:positionV relativeFrom="paragraph">
                  <wp:posOffset>15514</wp:posOffset>
                </wp:positionV>
                <wp:extent cx="1685290" cy="501015"/>
                <wp:effectExtent b="6985" l="19685" r="19050" t="6350"/>
                <wp:wrapNone/>
                <wp:docPr id="1" name=""/>
                <a:graphic>
                  <a:graphicData uri="http://schemas.microsoft.com/office/word/2010/wordprocessingShape">
                    <wps:wsp>
                      <wps:cNvSpPr>
                        <a:spLocks noChangeArrowheads="1"/>
                      </wps:cNvSpPr>
                      <wps:spPr bwMode="auto">
                        <a:xfrm>
                          <a:off x="0" y="0"/>
                          <a:ext cx="1685290" cy="501015"/>
                        </a:xfrm>
                        <a:prstGeom prst="ribbon">
                          <a:avLst>
                            <a:gd fmla="val 12500" name="adj1"/>
                            <a:gd fmla="val 50000" name="adj2"/>
                          </a:avLst>
                        </a:prstGeom>
                        <a:solidFill>
                          <a:srgbClr val="FFFFFF"/>
                        </a:solidFill>
                        <a:ln w="9525">
                          <a:solidFill>
                            <a:srgbClr val="000000"/>
                          </a:solidFill>
                          <a:round/>
                          <a:headEnd/>
                          <a:tailEnd/>
                        </a:ln>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1979446</wp:posOffset>
                </wp:positionH>
                <wp:positionV relativeFrom="paragraph">
                  <wp:posOffset>15514</wp:posOffset>
                </wp:positionV>
                <wp:extent cx="1724025" cy="5143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24025" cy="514350"/>
                        </a:xfrm>
                        <a:prstGeom prst="rect"/>
                        <a:ln/>
                      </pic:spPr>
                    </pic:pic>
                  </a:graphicData>
                </a:graphic>
              </wp:anchor>
            </w:drawing>
          </mc:Fallback>
        </mc:AlternateContent>
      </w:r>
    </w:p>
    <w:p w:rsidR="00000000" w:rsidDel="00000000" w:rsidP="00000000" w:rsidRDefault="00000000" w:rsidRPr="00000000" w14:paraId="0000007F">
      <w:pPr>
        <w:ind w:firstLine="1276"/>
        <w:jc w:val="both"/>
        <w:rPr>
          <w:rFonts w:ascii="Arial" w:cs="Arial" w:eastAsia="Arial" w:hAnsi="Arial"/>
        </w:rPr>
      </w:pPr>
      <w:r w:rsidDel="00000000" w:rsidR="00000000" w:rsidRPr="00000000">
        <w:rPr>
          <w:rtl w:val="0"/>
        </w:rPr>
      </w:r>
    </w:p>
    <w:sectPr>
      <w:footerReference r:id="rId10" w:type="default"/>
      <w:pgSz w:h="16838" w:w="11906" w:orient="portrait"/>
      <w:pgMar w:bottom="284" w:top="1418" w:left="1701" w:right="567"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2655" w:hanging="855"/>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ca.gov.ar/2016-03-21-17-33-42" TargetMode="External"/><Relationship Id="rId7" Type="http://schemas.openxmlformats.org/officeDocument/2006/relationships/hyperlink" Target="http://www.agip.gob.ar" TargetMode="External"/><Relationship Id="rId8" Type="http://schemas.openxmlformats.org/officeDocument/2006/relationships/hyperlink" Target="http://www.arba.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